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0500"/>
      </w:tblGrid>
      <w:tr w:rsidR="00B81B23" w:rsidRPr="00B81B23" w14:paraId="7A4DF488" w14:textId="77777777" w:rsidTr="00B81B23">
        <w:trPr>
          <w:tblCellSpacing w:w="0" w:type="dxa"/>
        </w:trPr>
        <w:tc>
          <w:tcPr>
            <w:tcW w:w="0" w:type="auto"/>
            <w:hideMark/>
          </w:tcPr>
          <w:tbl>
            <w:tblPr>
              <w:tblW w:w="5000" w:type="pct"/>
              <w:jc w:val="center"/>
              <w:tblCellSpacing w:w="3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10470"/>
            </w:tblGrid>
            <w:tr w:rsidR="00B81B23" w:rsidRPr="00B81B23" w14:paraId="5746D311" w14:textId="77777777">
              <w:trPr>
                <w:tblCellSpacing w:w="30" w:type="dxa"/>
                <w:jc w:val="center"/>
              </w:trPr>
              <w:tc>
                <w:tcPr>
                  <w:tcW w:w="0" w:type="auto"/>
                  <w:shd w:val="clear" w:color="auto" w:fill="FFFFFF"/>
                  <w:hideMark/>
                </w:tcPr>
                <w:p w14:paraId="6B9892DB" w14:textId="49F34BE5" w:rsidR="00B81B23" w:rsidRPr="00B81B23" w:rsidRDefault="00B81B23" w:rsidP="00B81B23">
                  <w:pPr>
                    <w:spacing w:after="0" w:line="188" w:lineRule="atLeast"/>
                    <w:rPr>
                      <w:rFonts w:ascii="Helvetica" w:eastAsia="Times New Roman" w:hAnsi="Helvetica" w:cs="Helvetica"/>
                      <w:color w:val="808080"/>
                      <w:sz w:val="15"/>
                      <w:szCs w:val="15"/>
                      <w:lang w:eastAsia="hr-HR"/>
                    </w:rPr>
                  </w:pPr>
                  <w:r w:rsidRPr="00B81B23">
                    <w:rPr>
                      <w:rFonts w:ascii="Helvetica" w:eastAsia="Times New Roman" w:hAnsi="Helvetica" w:cs="Helvetica"/>
                      <w:noProof/>
                      <w:color w:val="808080"/>
                      <w:sz w:val="15"/>
                      <w:szCs w:val="15"/>
                      <w:lang w:eastAsia="hr-HR"/>
                    </w:rPr>
                    <w:drawing>
                      <wp:inline distT="0" distB="0" distL="0" distR="0" wp14:anchorId="0A47A931" wp14:editId="3FEB88FE">
                        <wp:extent cx="5760720" cy="15792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79245"/>
                                </a:xfrm>
                                <a:prstGeom prst="rect">
                                  <a:avLst/>
                                </a:prstGeom>
                                <a:noFill/>
                                <a:ln>
                                  <a:noFill/>
                                </a:ln>
                              </pic:spPr>
                            </pic:pic>
                          </a:graphicData>
                        </a:graphic>
                      </wp:inline>
                    </w:drawing>
                  </w:r>
                </w:p>
              </w:tc>
            </w:tr>
          </w:tbl>
          <w:p w14:paraId="531C2896" w14:textId="77777777" w:rsidR="00B81B23" w:rsidRPr="00B81B23" w:rsidRDefault="00B81B23" w:rsidP="00B81B23">
            <w:pPr>
              <w:spacing w:after="0" w:line="240" w:lineRule="auto"/>
              <w:jc w:val="center"/>
              <w:rPr>
                <w:rFonts w:ascii="Times New Roman" w:eastAsia="Times New Roman" w:hAnsi="Times New Roman" w:cs="Times New Roman"/>
                <w:sz w:val="24"/>
                <w:szCs w:val="24"/>
                <w:lang w:eastAsia="hr-HR"/>
              </w:rPr>
            </w:pPr>
          </w:p>
        </w:tc>
      </w:tr>
      <w:tr w:rsidR="00B81B23" w:rsidRPr="00B81B23" w14:paraId="117DEB51" w14:textId="77777777" w:rsidTr="00B81B23">
        <w:trPr>
          <w:tblCellSpacing w:w="0" w:type="dxa"/>
        </w:trPr>
        <w:tc>
          <w:tcPr>
            <w:tcW w:w="0" w:type="auto"/>
            <w:hideMark/>
          </w:tcPr>
          <w:tbl>
            <w:tblPr>
              <w:tblW w:w="5000" w:type="pct"/>
              <w:jc w:val="center"/>
              <w:tblCellSpacing w:w="0"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10470"/>
            </w:tblGrid>
            <w:tr w:rsidR="00B81B23" w:rsidRPr="00B81B23" w14:paraId="5809BDFB" w14:textId="77777777">
              <w:trPr>
                <w:tblCellSpacing w:w="0" w:type="dxa"/>
                <w:jc w:val="center"/>
              </w:trPr>
              <w:tc>
                <w:tcPr>
                  <w:tcW w:w="0" w:type="auto"/>
                  <w:shd w:val="clear" w:color="auto" w:fill="FFFFFF"/>
                  <w:hideMark/>
                </w:tcPr>
                <w:tbl>
                  <w:tblPr>
                    <w:tblW w:w="5000" w:type="pct"/>
                    <w:jc w:val="center"/>
                    <w:tblCellSpacing w:w="0" w:type="dxa"/>
                    <w:tblBorders>
                      <w:top w:val="single" w:sz="6" w:space="0" w:color="FFFFFF"/>
                      <w:bottom w:val="single" w:sz="6" w:space="0" w:color="CCCCCC"/>
                    </w:tblBorders>
                    <w:shd w:val="clear" w:color="auto" w:fill="FFFFFF"/>
                    <w:tblCellMar>
                      <w:left w:w="0" w:type="dxa"/>
                      <w:right w:w="0" w:type="dxa"/>
                    </w:tblCellMar>
                    <w:tblLook w:val="04A0" w:firstRow="1" w:lastRow="0" w:firstColumn="1" w:lastColumn="0" w:noHBand="0" w:noVBand="1"/>
                  </w:tblPr>
                  <w:tblGrid>
                    <w:gridCol w:w="10470"/>
                  </w:tblGrid>
                  <w:tr w:rsidR="00B81B23" w:rsidRPr="00B81B23" w14:paraId="21A6A56E" w14:textId="77777777">
                    <w:trPr>
                      <w:tblCellSpacing w:w="0" w:type="dxa"/>
                      <w:jc w:val="center"/>
                    </w:trPr>
                    <w:tc>
                      <w:tcPr>
                        <w:tcW w:w="0" w:type="auto"/>
                        <w:shd w:val="clear" w:color="auto" w:fill="FFFFFF"/>
                        <w:tcMar>
                          <w:top w:w="180" w:type="dxa"/>
                          <w:left w:w="180" w:type="dxa"/>
                          <w:bottom w:w="180" w:type="dxa"/>
                          <w:right w:w="180" w:type="dxa"/>
                        </w:tcMar>
                        <w:hideMark/>
                      </w:tcPr>
                      <w:tbl>
                        <w:tblPr>
                          <w:tblW w:w="4900" w:type="pct"/>
                          <w:jc w:val="center"/>
                          <w:tblCellSpacing w:w="15" w:type="dxa"/>
                          <w:tblCellMar>
                            <w:top w:w="75" w:type="dxa"/>
                            <w:left w:w="75" w:type="dxa"/>
                            <w:bottom w:w="75" w:type="dxa"/>
                            <w:right w:w="75" w:type="dxa"/>
                          </w:tblCellMar>
                          <w:tblLook w:val="04A0" w:firstRow="1" w:lastRow="0" w:firstColumn="1" w:lastColumn="0" w:noHBand="0" w:noVBand="1"/>
                        </w:tblPr>
                        <w:tblGrid>
                          <w:gridCol w:w="9908"/>
                        </w:tblGrid>
                        <w:tr w:rsidR="00B81B23" w:rsidRPr="00B81B23" w14:paraId="07E3E760" w14:textId="77777777">
                          <w:trPr>
                            <w:tblCellSpacing w:w="15" w:type="dxa"/>
                            <w:jc w:val="center"/>
                          </w:trPr>
                          <w:tc>
                            <w:tcPr>
                              <w:tcW w:w="0" w:type="auto"/>
                              <w:vAlign w:val="center"/>
                              <w:hideMark/>
                            </w:tcPr>
                            <w:p w14:paraId="1BAAF0C8" w14:textId="77777777" w:rsidR="00B81B23" w:rsidRPr="00B81B23" w:rsidRDefault="00B81B23" w:rsidP="00B81B23">
                              <w:pPr>
                                <w:spacing w:after="0" w:line="240" w:lineRule="auto"/>
                                <w:jc w:val="center"/>
                                <w:rPr>
                                  <w:rFonts w:ascii="Times New Roman" w:eastAsia="Times New Roman" w:hAnsi="Times New Roman" w:cs="Times New Roman"/>
                                  <w:sz w:val="20"/>
                                  <w:szCs w:val="20"/>
                                  <w:lang w:eastAsia="hr-HR"/>
                                </w:rPr>
                              </w:pPr>
                            </w:p>
                          </w:tc>
                        </w:tr>
                        <w:tr w:rsidR="00B81B23" w:rsidRPr="00B81B23" w14:paraId="45E1892B" w14:textId="77777777">
                          <w:trPr>
                            <w:tblCellSpacing w:w="15" w:type="dxa"/>
                            <w:jc w:val="center"/>
                          </w:trPr>
                          <w:tc>
                            <w:tcPr>
                              <w:tcW w:w="0" w:type="auto"/>
                              <w:vAlign w:val="center"/>
                              <w:hideMark/>
                            </w:tcPr>
                            <w:p w14:paraId="4D3002A0"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Vaccinating people on dialysis will save lives and improve public health.</w:t>
                              </w:r>
                            </w:p>
                          </w:tc>
                        </w:tr>
                        <w:tr w:rsidR="00B81B23" w:rsidRPr="00B81B23" w14:paraId="666AE5CE" w14:textId="77777777">
                          <w:trPr>
                            <w:tblCellSpacing w:w="15" w:type="dxa"/>
                            <w:jc w:val="center"/>
                          </w:trPr>
                          <w:tc>
                            <w:tcPr>
                              <w:tcW w:w="0" w:type="auto"/>
                              <w:vAlign w:val="center"/>
                              <w:hideMark/>
                            </w:tcPr>
                            <w:p w14:paraId="785816AD"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sz w:val="24"/>
                                  <w:szCs w:val="24"/>
                                  <w:lang w:eastAsia="hr-HR"/>
                                </w:rPr>
                                <w:t xml:space="preserve">The </w:t>
                              </w:r>
                              <w:r w:rsidRPr="00B81B23">
                                <w:rPr>
                                  <w:rFonts w:ascii="Times New Roman" w:eastAsia="Times New Roman" w:hAnsi="Times New Roman" w:cs="Times New Roman"/>
                                  <w:b/>
                                  <w:bCs/>
                                  <w:sz w:val="24"/>
                                  <w:szCs w:val="24"/>
                                  <w:lang w:eastAsia="hr-HR"/>
                                </w:rPr>
                                <w:t>American Society of Nephrology</w:t>
                              </w:r>
                              <w:r w:rsidRPr="00B81B23">
                                <w:rPr>
                                  <w:rFonts w:ascii="Times New Roman" w:eastAsia="Times New Roman" w:hAnsi="Times New Roman" w:cs="Times New Roman"/>
                                  <w:sz w:val="24"/>
                                  <w:szCs w:val="24"/>
                                  <w:lang w:eastAsia="hr-HR"/>
                                </w:rPr>
                                <w:t xml:space="preserve"> (ASN), the </w:t>
                              </w:r>
                              <w:r w:rsidRPr="00B81B23">
                                <w:rPr>
                                  <w:rFonts w:ascii="Times New Roman" w:eastAsia="Times New Roman" w:hAnsi="Times New Roman" w:cs="Times New Roman"/>
                                  <w:b/>
                                  <w:bCs/>
                                  <w:sz w:val="24"/>
                                  <w:szCs w:val="24"/>
                                  <w:lang w:eastAsia="hr-HR"/>
                                </w:rPr>
                                <w:t>European Renal Association-European Dialysis and Transplant Association</w:t>
                              </w:r>
                              <w:r w:rsidRPr="00B81B23">
                                <w:rPr>
                                  <w:rFonts w:ascii="Times New Roman" w:eastAsia="Times New Roman" w:hAnsi="Times New Roman" w:cs="Times New Roman"/>
                                  <w:sz w:val="24"/>
                                  <w:szCs w:val="24"/>
                                  <w:lang w:eastAsia="hr-HR"/>
                                </w:rPr>
                                <w:t xml:space="preserve"> (ERA-EDTA), and the </w:t>
                              </w:r>
                              <w:r w:rsidRPr="00B81B23">
                                <w:rPr>
                                  <w:rFonts w:ascii="Times New Roman" w:eastAsia="Times New Roman" w:hAnsi="Times New Roman" w:cs="Times New Roman"/>
                                  <w:b/>
                                  <w:bCs/>
                                  <w:sz w:val="24"/>
                                  <w:szCs w:val="24"/>
                                  <w:lang w:eastAsia="hr-HR"/>
                                </w:rPr>
                                <w:t>International Society of Nephrology</w:t>
                              </w:r>
                              <w:r w:rsidRPr="00B81B23">
                                <w:rPr>
                                  <w:rFonts w:ascii="Times New Roman" w:eastAsia="Times New Roman" w:hAnsi="Times New Roman" w:cs="Times New Roman"/>
                                  <w:sz w:val="24"/>
                                  <w:szCs w:val="24"/>
                                  <w:lang w:eastAsia="hr-HR"/>
                                </w:rPr>
                                <w:t xml:space="preserve"> (ISN) urge immediate prioritization of COVID-vaccine distribution to people undergoing dialysis treatment in dialysis units throughout the world.</w:t>
                              </w:r>
                            </w:p>
                          </w:tc>
                        </w:tr>
                        <w:tr w:rsidR="00B81B23" w:rsidRPr="00B81B23" w14:paraId="27C49E9B" w14:textId="77777777">
                          <w:trPr>
                            <w:tblCellSpacing w:w="15" w:type="dxa"/>
                            <w:jc w:val="center"/>
                          </w:trPr>
                          <w:tc>
                            <w:tcPr>
                              <w:tcW w:w="0" w:type="auto"/>
                              <w:vAlign w:val="center"/>
                              <w:hideMark/>
                            </w:tcPr>
                            <w:p w14:paraId="2DFEEC86"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sz w:val="24"/>
                                  <w:szCs w:val="24"/>
                                  <w:lang w:eastAsia="hr-HR"/>
                                </w:rPr>
                                <w:t>As presidents of the three global kidney organizations, we urge all governments to prioritize delivery of COVID-19 vaccine to all dialysis patients.</w:t>
                              </w:r>
                            </w:p>
                          </w:tc>
                        </w:tr>
                        <w:tr w:rsidR="00B81B23" w:rsidRPr="00B81B23" w14:paraId="15A1DBB0" w14:textId="77777777">
                          <w:trPr>
                            <w:tblCellSpacing w:w="15" w:type="dxa"/>
                            <w:jc w:val="center"/>
                          </w:trPr>
                          <w:tc>
                            <w:tcPr>
                              <w:tcW w:w="0" w:type="auto"/>
                              <w:vAlign w:val="center"/>
                              <w:hideMark/>
                            </w:tcPr>
                            <w:p w14:paraId="3D05768D"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sz w:val="24"/>
                                  <w:szCs w:val="24"/>
                                  <w:lang w:eastAsia="hr-HR"/>
                                </w:rPr>
                                <w:t>People who have kidney failure cannot live without dialysis treatment. They are also at increased risk for SARS-CoV-2 infection compared to the general population (1-6).</w:t>
                              </w:r>
                            </w:p>
                          </w:tc>
                        </w:tr>
                        <w:tr w:rsidR="00B81B23" w:rsidRPr="00B81B23" w14:paraId="25B9449D" w14:textId="77777777">
                          <w:trPr>
                            <w:tblCellSpacing w:w="15" w:type="dxa"/>
                            <w:jc w:val="center"/>
                          </w:trPr>
                          <w:tc>
                            <w:tcPr>
                              <w:tcW w:w="0" w:type="auto"/>
                              <w:vAlign w:val="center"/>
                              <w:hideMark/>
                            </w:tcPr>
                            <w:p w14:paraId="7D75A7F4"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sz w:val="24"/>
                                  <w:szCs w:val="24"/>
                                  <w:lang w:eastAsia="hr-HR"/>
                                </w:rPr>
                                <w:t>Most people with kidney failure are treated in dialysis facilities. These patients are unable to self-isolate, because they must travel to dialysis facilities three days a week, and stay in the facilities 3-4 hours each day, to receive these lifesaving treatments. They are also typically too sick and vulnerable to travel to public vaccination locations, underscoring the need to provide them access to the vaccine in their dialysis units.</w:t>
                              </w:r>
                            </w:p>
                          </w:tc>
                        </w:tr>
                        <w:tr w:rsidR="00B81B23" w:rsidRPr="00B81B23" w14:paraId="79C966AC" w14:textId="77777777">
                          <w:trPr>
                            <w:tblCellSpacing w:w="15" w:type="dxa"/>
                            <w:jc w:val="center"/>
                          </w:trPr>
                          <w:tc>
                            <w:tcPr>
                              <w:tcW w:w="0" w:type="auto"/>
                              <w:hideMark/>
                            </w:tcPr>
                            <w:p w14:paraId="4F89F002"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sz w:val="24"/>
                                  <w:szCs w:val="24"/>
                                  <w:lang w:eastAsia="hr-HR"/>
                                </w:rPr>
                                <w:t xml:space="preserve">As detailed in </w:t>
                              </w:r>
                              <w:hyperlink r:id="rId5" w:tgtFrame="_blank" w:history="1">
                                <w:r w:rsidRPr="00B81B23">
                                  <w:rPr>
                                    <w:rFonts w:ascii="Times New Roman" w:eastAsia="Times New Roman" w:hAnsi="Times New Roman" w:cs="Times New Roman"/>
                                    <w:color w:val="0000FF"/>
                                    <w:sz w:val="24"/>
                                    <w:szCs w:val="24"/>
                                    <w:u w:val="single"/>
                                    <w:lang w:eastAsia="hr-HR"/>
                                  </w:rPr>
                                  <w:t>this recent editorial</w:t>
                                </w:r>
                              </w:hyperlink>
                              <w:r w:rsidRPr="00B81B23">
                                <w:rPr>
                                  <w:rFonts w:ascii="Times New Roman" w:eastAsia="Times New Roman" w:hAnsi="Times New Roman" w:cs="Times New Roman"/>
                                  <w:sz w:val="24"/>
                                  <w:szCs w:val="24"/>
                                  <w:lang w:eastAsia="hr-HR"/>
                                </w:rPr>
                                <w:t>, “vaccinating dialysis patients may have the highest relative impact of all health care groups, through reducing infections, mortality, and burden on the health care system.”(7) These patients, and the frontline staff and clinicians who care for them, urgently need direct access to the vaccine. Dialysis center staff are highly skilled at caring for patients, including providing annual influenza and other vaccinations, and will be able to advise patients, and deliver vaccines, in a safe environment</w:t>
                              </w:r>
                            </w:p>
                          </w:tc>
                        </w:tr>
                        <w:tr w:rsidR="00B81B23" w:rsidRPr="00B81B23" w14:paraId="2224804B" w14:textId="77777777">
                          <w:trPr>
                            <w:tblCellSpacing w:w="15" w:type="dxa"/>
                            <w:jc w:val="center"/>
                          </w:trPr>
                          <w:tc>
                            <w:tcPr>
                              <w:tcW w:w="0" w:type="auto"/>
                              <w:vAlign w:val="center"/>
                              <w:hideMark/>
                            </w:tcPr>
                            <w:p w14:paraId="3E74CE8B"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b/>
                                  <w:bCs/>
                                  <w:sz w:val="24"/>
                                  <w:szCs w:val="24"/>
                                  <w:lang w:eastAsia="hr-HR"/>
                                </w:rPr>
                                <w:t>ASN</w:t>
                              </w:r>
                              <w:r w:rsidRPr="00B81B23">
                                <w:rPr>
                                  <w:rFonts w:ascii="Times New Roman" w:eastAsia="Times New Roman" w:hAnsi="Times New Roman" w:cs="Times New Roman"/>
                                  <w:sz w:val="24"/>
                                  <w:szCs w:val="24"/>
                                  <w:lang w:eastAsia="hr-HR"/>
                                </w:rPr>
                                <w:t xml:space="preserve">, </w:t>
                              </w:r>
                              <w:r w:rsidRPr="00B81B23">
                                <w:rPr>
                                  <w:rFonts w:ascii="Times New Roman" w:eastAsia="Times New Roman" w:hAnsi="Times New Roman" w:cs="Times New Roman"/>
                                  <w:b/>
                                  <w:bCs/>
                                  <w:sz w:val="24"/>
                                  <w:szCs w:val="24"/>
                                  <w:lang w:eastAsia="hr-HR"/>
                                </w:rPr>
                                <w:t>ERA-EDTA</w:t>
                              </w:r>
                              <w:r w:rsidRPr="00B81B23">
                                <w:rPr>
                                  <w:rFonts w:ascii="Times New Roman" w:eastAsia="Times New Roman" w:hAnsi="Times New Roman" w:cs="Times New Roman"/>
                                  <w:sz w:val="24"/>
                                  <w:szCs w:val="24"/>
                                  <w:lang w:eastAsia="hr-HR"/>
                                </w:rPr>
                                <w:t xml:space="preserve">, and </w:t>
                              </w:r>
                              <w:r w:rsidRPr="00B81B23">
                                <w:rPr>
                                  <w:rFonts w:ascii="Times New Roman" w:eastAsia="Times New Roman" w:hAnsi="Times New Roman" w:cs="Times New Roman"/>
                                  <w:b/>
                                  <w:bCs/>
                                  <w:sz w:val="24"/>
                                  <w:szCs w:val="24"/>
                                  <w:lang w:eastAsia="hr-HR"/>
                                </w:rPr>
                                <w:t>ISN</w:t>
                              </w:r>
                              <w:r w:rsidRPr="00B81B23">
                                <w:rPr>
                                  <w:rFonts w:ascii="Times New Roman" w:eastAsia="Times New Roman" w:hAnsi="Times New Roman" w:cs="Times New Roman"/>
                                  <w:sz w:val="24"/>
                                  <w:szCs w:val="24"/>
                                  <w:lang w:eastAsia="hr-HR"/>
                                </w:rPr>
                                <w:t xml:space="preserve"> stand ready to support efforts to act on this urgent need to expedite dialysis patient, staff, and clinician access to the COVID-19 vaccine in dialysis units, which will save lives and improve public health.</w:t>
                              </w:r>
                            </w:p>
                          </w:tc>
                        </w:tr>
                        <w:tr w:rsidR="00B81B23" w:rsidRPr="00B81B23" w14:paraId="5A55B130" w14:textId="77777777">
                          <w:trPr>
                            <w:tblCellSpacing w:w="15" w:type="dxa"/>
                            <w:jc w:val="center"/>
                          </w:trPr>
                          <w:tc>
                            <w:tcPr>
                              <w:tcW w:w="0" w:type="auto"/>
                              <w:vAlign w:val="center"/>
                              <w:hideMark/>
                            </w:tcPr>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1460"/>
                                <w:gridCol w:w="8238"/>
                              </w:tblGrid>
                              <w:tr w:rsidR="00B81B23" w:rsidRPr="00B81B23" w14:paraId="71101667" w14:textId="77777777">
                                <w:trPr>
                                  <w:tblCellSpacing w:w="15" w:type="dxa"/>
                                </w:trPr>
                                <w:tc>
                                  <w:tcPr>
                                    <w:tcW w:w="0" w:type="auto"/>
                                    <w:vAlign w:val="center"/>
                                    <w:hideMark/>
                                  </w:tcPr>
                                  <w:p w14:paraId="6D5A6FE5" w14:textId="1C8A6BA6"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noProof/>
                                        <w:sz w:val="24"/>
                                        <w:szCs w:val="24"/>
                                        <w:lang w:eastAsia="hr-HR"/>
                                      </w:rPr>
                                      <w:drawing>
                                        <wp:inline distT="0" distB="0" distL="0" distR="0" wp14:anchorId="7A3278E4" wp14:editId="2D687CD9">
                                          <wp:extent cx="860425" cy="833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425" cy="833755"/>
                                                  </a:xfrm>
                                                  <a:prstGeom prst="rect">
                                                    <a:avLst/>
                                                  </a:prstGeom>
                                                  <a:noFill/>
                                                  <a:ln>
                                                    <a:noFill/>
                                                  </a:ln>
                                                </pic:spPr>
                                              </pic:pic>
                                            </a:graphicData>
                                          </a:graphic>
                                        </wp:inline>
                                      </w:drawing>
                                    </w:r>
                                  </w:p>
                                </w:tc>
                                <w:tc>
                                  <w:tcPr>
                                    <w:tcW w:w="0" w:type="auto"/>
                                    <w:vAlign w:val="center"/>
                                    <w:hideMark/>
                                  </w:tcPr>
                                  <w:p w14:paraId="41839C4D"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b/>
                                        <w:bCs/>
                                        <w:sz w:val="24"/>
                                        <w:szCs w:val="24"/>
                                        <w:lang w:eastAsia="hr-HR"/>
                                      </w:rPr>
                                      <w:t>Vivekanand Jha</w:t>
                                    </w:r>
                                    <w:r w:rsidRPr="00B81B23">
                                      <w:rPr>
                                        <w:rFonts w:ascii="Times New Roman" w:eastAsia="Times New Roman" w:hAnsi="Times New Roman" w:cs="Times New Roman"/>
                                        <w:sz w:val="24"/>
                                        <w:szCs w:val="24"/>
                                        <w:lang w:eastAsia="hr-HR"/>
                                      </w:rPr>
                                      <w:t>, MBBS, MD, DM, FRCP, FAMS</w:t>
                                    </w:r>
                                    <w:r w:rsidRPr="00B81B23">
                                      <w:rPr>
                                        <w:rFonts w:ascii="Times New Roman" w:eastAsia="Times New Roman" w:hAnsi="Times New Roman" w:cs="Times New Roman"/>
                                        <w:sz w:val="24"/>
                                        <w:szCs w:val="24"/>
                                        <w:lang w:eastAsia="hr-HR"/>
                                      </w:rPr>
                                      <w:br/>
                                      <w:t>President, International Society of Nephrology</w:t>
                                    </w:r>
                                  </w:p>
                                </w:tc>
                              </w:tr>
                              <w:tr w:rsidR="00B81B23" w:rsidRPr="00B81B23" w14:paraId="02895C40" w14:textId="77777777">
                                <w:trPr>
                                  <w:tblCellSpacing w:w="15" w:type="dxa"/>
                                </w:trPr>
                                <w:tc>
                                  <w:tcPr>
                                    <w:tcW w:w="0" w:type="auto"/>
                                    <w:vAlign w:val="center"/>
                                    <w:hideMark/>
                                  </w:tcPr>
                                  <w:p w14:paraId="113864DB" w14:textId="7F4D23AB"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noProof/>
                                        <w:sz w:val="24"/>
                                        <w:szCs w:val="24"/>
                                        <w:lang w:eastAsia="hr-HR"/>
                                      </w:rPr>
                                      <w:drawing>
                                        <wp:inline distT="0" distB="0" distL="0" distR="0" wp14:anchorId="7D54B697" wp14:editId="52361193">
                                          <wp:extent cx="860425" cy="833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425" cy="833755"/>
                                                  </a:xfrm>
                                                  <a:prstGeom prst="rect">
                                                    <a:avLst/>
                                                  </a:prstGeom>
                                                  <a:noFill/>
                                                  <a:ln>
                                                    <a:noFill/>
                                                  </a:ln>
                                                </pic:spPr>
                                              </pic:pic>
                                            </a:graphicData>
                                          </a:graphic>
                                        </wp:inline>
                                      </w:drawing>
                                    </w:r>
                                  </w:p>
                                </w:tc>
                                <w:tc>
                                  <w:tcPr>
                                    <w:tcW w:w="0" w:type="auto"/>
                                    <w:vAlign w:val="center"/>
                                    <w:hideMark/>
                                  </w:tcPr>
                                  <w:p w14:paraId="3B81EDB7"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b/>
                                        <w:bCs/>
                                        <w:sz w:val="24"/>
                                        <w:szCs w:val="24"/>
                                        <w:lang w:eastAsia="hr-HR"/>
                                      </w:rPr>
                                      <w:t>Susan E. Quaggin</w:t>
                                    </w:r>
                                    <w:r w:rsidRPr="00B81B23">
                                      <w:rPr>
                                        <w:rFonts w:ascii="Times New Roman" w:eastAsia="Times New Roman" w:hAnsi="Times New Roman" w:cs="Times New Roman"/>
                                        <w:sz w:val="24"/>
                                        <w:szCs w:val="24"/>
                                        <w:lang w:eastAsia="hr-HR"/>
                                      </w:rPr>
                                      <w:t>, MD, FASN</w:t>
                                    </w:r>
                                    <w:r w:rsidRPr="00B81B23">
                                      <w:rPr>
                                        <w:rFonts w:ascii="Times New Roman" w:eastAsia="Times New Roman" w:hAnsi="Times New Roman" w:cs="Times New Roman"/>
                                        <w:sz w:val="24"/>
                                        <w:szCs w:val="24"/>
                                        <w:lang w:eastAsia="hr-HR"/>
                                      </w:rPr>
                                      <w:br/>
                                      <w:t>President, American Society of Nephrology</w:t>
                                    </w:r>
                                  </w:p>
                                </w:tc>
                              </w:tr>
                              <w:tr w:rsidR="00B81B23" w:rsidRPr="00B81B23" w14:paraId="16B166E5" w14:textId="77777777">
                                <w:trPr>
                                  <w:tblCellSpacing w:w="15" w:type="dxa"/>
                                </w:trPr>
                                <w:tc>
                                  <w:tcPr>
                                    <w:tcW w:w="0" w:type="auto"/>
                                    <w:vAlign w:val="center"/>
                                    <w:hideMark/>
                                  </w:tcPr>
                                  <w:p w14:paraId="6AA4C3C3" w14:textId="2B8A2C9B"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noProof/>
                                        <w:sz w:val="24"/>
                                        <w:szCs w:val="24"/>
                                        <w:lang w:eastAsia="hr-HR"/>
                                      </w:rPr>
                                      <w:lastRenderedPageBreak/>
                                      <w:drawing>
                                        <wp:inline distT="0" distB="0" distL="0" distR="0" wp14:anchorId="35EDB11F" wp14:editId="55474E0D">
                                          <wp:extent cx="860425" cy="833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833755"/>
                                                  </a:xfrm>
                                                  <a:prstGeom prst="rect">
                                                    <a:avLst/>
                                                  </a:prstGeom>
                                                  <a:noFill/>
                                                  <a:ln>
                                                    <a:noFill/>
                                                  </a:ln>
                                                </pic:spPr>
                                              </pic:pic>
                                            </a:graphicData>
                                          </a:graphic>
                                        </wp:inline>
                                      </w:drawing>
                                    </w:r>
                                  </w:p>
                                </w:tc>
                                <w:tc>
                                  <w:tcPr>
                                    <w:tcW w:w="0" w:type="auto"/>
                                    <w:vAlign w:val="center"/>
                                    <w:hideMark/>
                                  </w:tcPr>
                                  <w:p w14:paraId="4DF6F8BE"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b/>
                                        <w:bCs/>
                                        <w:sz w:val="24"/>
                                        <w:szCs w:val="24"/>
                                        <w:lang w:eastAsia="hr-HR"/>
                                      </w:rPr>
                                      <w:t>Christoph Wanner</w:t>
                                    </w:r>
                                    <w:r w:rsidRPr="00B81B23">
                                      <w:rPr>
                                        <w:rFonts w:ascii="Times New Roman" w:eastAsia="Times New Roman" w:hAnsi="Times New Roman" w:cs="Times New Roman"/>
                                        <w:sz w:val="24"/>
                                        <w:szCs w:val="24"/>
                                        <w:lang w:eastAsia="hr-HR"/>
                                      </w:rPr>
                                      <w:t>, MD</w:t>
                                    </w:r>
                                    <w:r w:rsidRPr="00B81B23">
                                      <w:rPr>
                                        <w:rFonts w:ascii="Times New Roman" w:eastAsia="Times New Roman" w:hAnsi="Times New Roman" w:cs="Times New Roman"/>
                                        <w:sz w:val="24"/>
                                        <w:szCs w:val="24"/>
                                        <w:lang w:eastAsia="hr-HR"/>
                                      </w:rPr>
                                      <w:br/>
                                      <w:t>President, European Renal Association-European Dialysis and Transplant Association</w:t>
                                    </w:r>
                                  </w:p>
                                </w:tc>
                              </w:tr>
                            </w:tbl>
                            <w:p w14:paraId="2EC518D0"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p>
                          </w:tc>
                        </w:tr>
                        <w:tr w:rsidR="00B81B23" w:rsidRPr="00B81B23" w14:paraId="2BFEE192" w14:textId="77777777">
                          <w:trPr>
                            <w:tblCellSpacing w:w="15" w:type="dxa"/>
                            <w:jc w:val="center"/>
                          </w:trPr>
                          <w:tc>
                            <w:tcPr>
                              <w:tcW w:w="0" w:type="auto"/>
                              <w:vAlign w:val="center"/>
                              <w:hideMark/>
                            </w:tcPr>
                            <w:p w14:paraId="247B5F2C"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sz w:val="24"/>
                                  <w:szCs w:val="24"/>
                                  <w:lang w:eastAsia="hr-HR"/>
                                </w:rPr>
                                <w:lastRenderedPageBreak/>
                                <w:pict w14:anchorId="7AB0CC3F">
                                  <v:rect id="_x0000_i1055" style="width:435.45pt;height:1.5pt" o:hrpct="960" o:hralign="center" o:hrstd="t" o:hr="t" fillcolor="#a0a0a0" stroked="f"/>
                                </w:pict>
                              </w:r>
                            </w:p>
                          </w:tc>
                        </w:tr>
                        <w:tr w:rsidR="00B81B23" w:rsidRPr="00B81B23" w14:paraId="37A4C44D" w14:textId="77777777">
                          <w:trPr>
                            <w:tblCellSpacing w:w="15"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443"/>
                              </w:tblGrid>
                              <w:tr w:rsidR="00B81B23" w:rsidRPr="00B81B23" w14:paraId="3FB9579C" w14:textId="77777777">
                                <w:trPr>
                                  <w:tblCellSpacing w:w="15" w:type="dxa"/>
                                </w:trPr>
                                <w:tc>
                                  <w:tcPr>
                                    <w:tcW w:w="0" w:type="auto"/>
                                    <w:hideMark/>
                                  </w:tcPr>
                                  <w:p w14:paraId="6C20558F"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1.</w:t>
                                    </w:r>
                                  </w:p>
                                </w:tc>
                                <w:tc>
                                  <w:tcPr>
                                    <w:tcW w:w="0" w:type="auto"/>
                                    <w:vAlign w:val="center"/>
                                    <w:hideMark/>
                                  </w:tcPr>
                                  <w:p w14:paraId="2F7F3FA5"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ERA-EDTA Council; ERACODA Working Group. Chronic kidney disease is a key risk factor for severe COVID-19: a call to action by the ERA-EDTA. Nephrol Dial Transplant. 2021 Jan 1;36(1):87-94.</w:t>
                                    </w:r>
                                    <w:r w:rsidRPr="00B81B23">
                                      <w:rPr>
                                        <w:rFonts w:ascii="Times New Roman" w:eastAsia="Times New Roman" w:hAnsi="Times New Roman" w:cs="Times New Roman"/>
                                        <w:i/>
                                        <w:iCs/>
                                        <w:sz w:val="24"/>
                                        <w:szCs w:val="24"/>
                                        <w:lang w:eastAsia="hr-HR"/>
                                      </w:rPr>
                                      <w:br/>
                                    </w:r>
                                    <w:hyperlink r:id="rId9" w:tgtFrame="_blank" w:history="1">
                                      <w:r w:rsidRPr="00B81B23">
                                        <w:rPr>
                                          <w:rFonts w:ascii="Times New Roman" w:eastAsia="Times New Roman" w:hAnsi="Times New Roman" w:cs="Times New Roman"/>
                                          <w:i/>
                                          <w:iCs/>
                                          <w:color w:val="0000FF"/>
                                          <w:sz w:val="24"/>
                                          <w:szCs w:val="24"/>
                                          <w:u w:val="single"/>
                                          <w:lang w:eastAsia="hr-HR"/>
                                        </w:rPr>
                                        <w:t>doi: 10.1093/ndt/gfaa314</w:t>
                                      </w:r>
                                    </w:hyperlink>
                                    <w:r w:rsidRPr="00B81B23">
                                      <w:rPr>
                                        <w:rFonts w:ascii="Times New Roman" w:eastAsia="Times New Roman" w:hAnsi="Times New Roman" w:cs="Times New Roman"/>
                                        <w:i/>
                                        <w:iCs/>
                                        <w:sz w:val="24"/>
                                        <w:szCs w:val="24"/>
                                        <w:lang w:eastAsia="hr-HR"/>
                                      </w:rPr>
                                      <w:t>. PMID: 33340043; PMCID: PMC7771976.</w:t>
                                    </w:r>
                                  </w:p>
                                </w:tc>
                              </w:tr>
                              <w:tr w:rsidR="00B81B23" w:rsidRPr="00B81B23" w14:paraId="646E7927" w14:textId="77777777">
                                <w:trPr>
                                  <w:tblCellSpacing w:w="15" w:type="dxa"/>
                                </w:trPr>
                                <w:tc>
                                  <w:tcPr>
                                    <w:tcW w:w="0" w:type="auto"/>
                                    <w:hideMark/>
                                  </w:tcPr>
                                  <w:p w14:paraId="4462DE21"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2.</w:t>
                                    </w:r>
                                  </w:p>
                                </w:tc>
                                <w:tc>
                                  <w:tcPr>
                                    <w:tcW w:w="0" w:type="auto"/>
                                    <w:vAlign w:val="center"/>
                                    <w:hideMark/>
                                  </w:tcPr>
                                  <w:p w14:paraId="1FF06564"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 xml:space="preserve">Gansevoort RT, Hilbrands LB. CKD is a key risk factor for COVID-19 mortality. Nat Rev Nephrol. 2020 Dec;16(12):705-706. </w:t>
                                    </w:r>
                                    <w:hyperlink r:id="rId10" w:tgtFrame="_blank" w:history="1">
                                      <w:r w:rsidRPr="00B81B23">
                                        <w:rPr>
                                          <w:rFonts w:ascii="Times New Roman" w:eastAsia="Times New Roman" w:hAnsi="Times New Roman" w:cs="Times New Roman"/>
                                          <w:i/>
                                          <w:iCs/>
                                          <w:color w:val="0000FF"/>
                                          <w:sz w:val="24"/>
                                          <w:szCs w:val="24"/>
                                          <w:u w:val="single"/>
                                          <w:lang w:eastAsia="hr-HR"/>
                                        </w:rPr>
                                        <w:t>doi: 10.1038/s41581-020-00349-4</w:t>
                                      </w:r>
                                    </w:hyperlink>
                                    <w:r w:rsidRPr="00B81B23">
                                      <w:rPr>
                                        <w:rFonts w:ascii="Times New Roman" w:eastAsia="Times New Roman" w:hAnsi="Times New Roman" w:cs="Times New Roman"/>
                                        <w:i/>
                                        <w:iCs/>
                                        <w:sz w:val="24"/>
                                        <w:szCs w:val="24"/>
                                        <w:lang w:eastAsia="hr-HR"/>
                                      </w:rPr>
                                      <w:t>. PMID: 32848205; PMCID: PMC7447963.</w:t>
                                    </w:r>
                                  </w:p>
                                </w:tc>
                              </w:tr>
                              <w:tr w:rsidR="00B81B23" w:rsidRPr="00B81B23" w14:paraId="29A1E1AD" w14:textId="77777777">
                                <w:trPr>
                                  <w:tblCellSpacing w:w="15" w:type="dxa"/>
                                </w:trPr>
                                <w:tc>
                                  <w:tcPr>
                                    <w:tcW w:w="0" w:type="auto"/>
                                    <w:hideMark/>
                                  </w:tcPr>
                                  <w:p w14:paraId="7D2AC679"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3.</w:t>
                                    </w:r>
                                  </w:p>
                                </w:tc>
                                <w:tc>
                                  <w:tcPr>
                                    <w:tcW w:w="0" w:type="auto"/>
                                    <w:vAlign w:val="center"/>
                                    <w:hideMark/>
                                  </w:tcPr>
                                  <w:p w14:paraId="6D0D1314"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 xml:space="preserve">Hilbrands LB, Duivenvoorden R, Vart P et al for the ERACODA Collaborators. COVID-19-related mortality in kidney transplant and dialysis patients: results of the ERACODA collaboration. Nephrol Dial Transplant. 2020 Nov 1;35(11):1973-1983. </w:t>
                                    </w:r>
                                    <w:hyperlink r:id="rId11" w:tgtFrame="_blank" w:history="1">
                                      <w:r w:rsidRPr="00B81B23">
                                        <w:rPr>
                                          <w:rFonts w:ascii="Times New Roman" w:eastAsia="Times New Roman" w:hAnsi="Times New Roman" w:cs="Times New Roman"/>
                                          <w:i/>
                                          <w:iCs/>
                                          <w:color w:val="0000FF"/>
                                          <w:sz w:val="24"/>
                                          <w:szCs w:val="24"/>
                                          <w:u w:val="single"/>
                                          <w:lang w:eastAsia="hr-HR"/>
                                        </w:rPr>
                                        <w:t>doi: 10.1093/ndt/gfaa261</w:t>
                                      </w:r>
                                    </w:hyperlink>
                                    <w:r w:rsidRPr="00B81B23">
                                      <w:rPr>
                                        <w:rFonts w:ascii="Times New Roman" w:eastAsia="Times New Roman" w:hAnsi="Times New Roman" w:cs="Times New Roman"/>
                                        <w:i/>
                                        <w:iCs/>
                                        <w:sz w:val="24"/>
                                        <w:szCs w:val="24"/>
                                        <w:lang w:eastAsia="hr-HR"/>
                                      </w:rPr>
                                      <w:t xml:space="preserve">. PMID: 33151337; PMCID: PMC7665620. </w:t>
                                    </w:r>
                                  </w:p>
                                </w:tc>
                              </w:tr>
                              <w:tr w:rsidR="00B81B23" w:rsidRPr="00B81B23" w14:paraId="527ED8DB" w14:textId="77777777">
                                <w:trPr>
                                  <w:tblCellSpacing w:w="15" w:type="dxa"/>
                                </w:trPr>
                                <w:tc>
                                  <w:tcPr>
                                    <w:tcW w:w="0" w:type="auto"/>
                                    <w:hideMark/>
                                  </w:tcPr>
                                  <w:p w14:paraId="425B639E"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4.</w:t>
                                    </w:r>
                                  </w:p>
                                </w:tc>
                                <w:tc>
                                  <w:tcPr>
                                    <w:tcW w:w="0" w:type="auto"/>
                                    <w:vAlign w:val="center"/>
                                    <w:hideMark/>
                                  </w:tcPr>
                                  <w:p w14:paraId="47097FF6"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 xml:space="preserve">Ozturk S, Turgutalp K, Arici M et al. Mortality analysis of COVID-19 infection in chronic kidney disease, haemodialysis and renal transplant patients compared with patients without kidney disease: a nationwide analysis from Turkey. 2020 Dec 4:35(12):208302095. </w:t>
                                    </w:r>
                                    <w:hyperlink r:id="rId12" w:tgtFrame="_blank" w:history="1">
                                      <w:r w:rsidRPr="00B81B23">
                                        <w:rPr>
                                          <w:rFonts w:ascii="Times New Roman" w:eastAsia="Times New Roman" w:hAnsi="Times New Roman" w:cs="Times New Roman"/>
                                          <w:i/>
                                          <w:iCs/>
                                          <w:color w:val="0000FF"/>
                                          <w:sz w:val="24"/>
                                          <w:szCs w:val="24"/>
                                          <w:u w:val="single"/>
                                          <w:lang w:eastAsia="hr-HR"/>
                                        </w:rPr>
                                        <w:t>doi: 10.1093/ndt/gfaa271</w:t>
                                      </w:r>
                                    </w:hyperlink>
                                    <w:r w:rsidRPr="00B81B23">
                                      <w:rPr>
                                        <w:rFonts w:ascii="Times New Roman" w:eastAsia="Times New Roman" w:hAnsi="Times New Roman" w:cs="Times New Roman"/>
                                        <w:i/>
                                        <w:iCs/>
                                        <w:sz w:val="24"/>
                                        <w:szCs w:val="24"/>
                                        <w:lang w:eastAsia="hr-HR"/>
                                      </w:rPr>
                                      <w:t>.</w:t>
                                    </w:r>
                                  </w:p>
                                </w:tc>
                              </w:tr>
                              <w:tr w:rsidR="00B81B23" w:rsidRPr="00B81B23" w14:paraId="277242FD" w14:textId="77777777">
                                <w:trPr>
                                  <w:tblCellSpacing w:w="15" w:type="dxa"/>
                                </w:trPr>
                                <w:tc>
                                  <w:tcPr>
                                    <w:tcW w:w="0" w:type="auto"/>
                                    <w:hideMark/>
                                  </w:tcPr>
                                  <w:p w14:paraId="67523740"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5.</w:t>
                                    </w:r>
                                  </w:p>
                                </w:tc>
                                <w:tc>
                                  <w:tcPr>
                                    <w:tcW w:w="0" w:type="auto"/>
                                    <w:vAlign w:val="center"/>
                                    <w:hideMark/>
                                  </w:tcPr>
                                  <w:p w14:paraId="581E8F74"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 xml:space="preserve">De Meester J, De Bacquer D, Naesens M, Meijers B, Couttenye MM, De Vriese AS; NBVN Kidney Registry Group. Incidence, Characteristics, and Outcome of COVID-19 in Adults on Kidney Replacement Therapy: A Regionwide Registry Study. J Am Soc Nephrol. 2021 Feb;32(2):385-396. </w:t>
                                    </w:r>
                                    <w:hyperlink r:id="rId13" w:tgtFrame="_blank" w:history="1">
                                      <w:r w:rsidRPr="00B81B23">
                                        <w:rPr>
                                          <w:rFonts w:ascii="Times New Roman" w:eastAsia="Times New Roman" w:hAnsi="Times New Roman" w:cs="Times New Roman"/>
                                          <w:i/>
                                          <w:iCs/>
                                          <w:color w:val="0000FF"/>
                                          <w:sz w:val="24"/>
                                          <w:szCs w:val="24"/>
                                          <w:u w:val="single"/>
                                          <w:lang w:eastAsia="hr-HR"/>
                                        </w:rPr>
                                        <w:t>doi: 10.1681/ASN.2020060875</w:t>
                                      </w:r>
                                    </w:hyperlink>
                                    <w:r w:rsidRPr="00B81B23">
                                      <w:rPr>
                                        <w:rFonts w:ascii="Times New Roman" w:eastAsia="Times New Roman" w:hAnsi="Times New Roman" w:cs="Times New Roman"/>
                                        <w:i/>
                                        <w:iCs/>
                                        <w:sz w:val="24"/>
                                        <w:szCs w:val="24"/>
                                        <w:lang w:eastAsia="hr-HR"/>
                                      </w:rPr>
                                      <w:t xml:space="preserve">. Epub 2020 Nov 5. PMID: 33154174. </w:t>
                                    </w:r>
                                  </w:p>
                                </w:tc>
                              </w:tr>
                              <w:tr w:rsidR="00B81B23" w:rsidRPr="00B81B23" w14:paraId="3D94E4A4" w14:textId="77777777">
                                <w:trPr>
                                  <w:tblCellSpacing w:w="15" w:type="dxa"/>
                                </w:trPr>
                                <w:tc>
                                  <w:tcPr>
                                    <w:tcW w:w="0" w:type="auto"/>
                                    <w:hideMark/>
                                  </w:tcPr>
                                  <w:p w14:paraId="6580A253"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6.</w:t>
                                    </w:r>
                                  </w:p>
                                </w:tc>
                                <w:tc>
                                  <w:tcPr>
                                    <w:tcW w:w="0" w:type="auto"/>
                                    <w:vAlign w:val="center"/>
                                    <w:hideMark/>
                                  </w:tcPr>
                                  <w:p w14:paraId="12E02FC2"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 xml:space="preserve">Kronbichler A, Anders H-J, Fernandez- Juárez GM et al. Recommendations for the use of COVID-19 vaccines in patients with immune-mediated kidney diseases. Nephrol Dial Transplant 2021 Mar </w:t>
                                    </w:r>
                                    <w:hyperlink r:id="rId14" w:tgtFrame="_blank" w:history="1">
                                      <w:r w:rsidRPr="00B81B23">
                                        <w:rPr>
                                          <w:rFonts w:ascii="Times New Roman" w:eastAsia="Times New Roman" w:hAnsi="Times New Roman" w:cs="Times New Roman"/>
                                          <w:i/>
                                          <w:iCs/>
                                          <w:color w:val="0000FF"/>
                                          <w:sz w:val="24"/>
                                          <w:szCs w:val="24"/>
                                          <w:u w:val="single"/>
                                          <w:lang w:eastAsia="hr-HR"/>
                                        </w:rPr>
                                        <w:t>doi.org/10.1093/ndt/gfab064</w:t>
                                      </w:r>
                                    </w:hyperlink>
                                    <w:r w:rsidRPr="00B81B23">
                                      <w:rPr>
                                        <w:rFonts w:ascii="Times New Roman" w:eastAsia="Times New Roman" w:hAnsi="Times New Roman" w:cs="Times New Roman"/>
                                        <w:i/>
                                        <w:iCs/>
                                        <w:sz w:val="24"/>
                                        <w:szCs w:val="24"/>
                                        <w:lang w:eastAsia="hr-HR"/>
                                      </w:rPr>
                                      <w:t xml:space="preserve">. </w:t>
                                    </w:r>
                                  </w:p>
                                </w:tc>
                              </w:tr>
                              <w:tr w:rsidR="00B81B23" w:rsidRPr="00B81B23" w14:paraId="1730F800" w14:textId="77777777">
                                <w:trPr>
                                  <w:tblCellSpacing w:w="15" w:type="dxa"/>
                                </w:trPr>
                                <w:tc>
                                  <w:tcPr>
                                    <w:tcW w:w="0" w:type="auto"/>
                                    <w:hideMark/>
                                  </w:tcPr>
                                  <w:p w14:paraId="14144624"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7.</w:t>
                                    </w:r>
                                  </w:p>
                                </w:tc>
                                <w:tc>
                                  <w:tcPr>
                                    <w:tcW w:w="0" w:type="auto"/>
                                    <w:vAlign w:val="center"/>
                                    <w:hideMark/>
                                  </w:tcPr>
                                  <w:p w14:paraId="68D38F65"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r w:rsidRPr="00B81B23">
                                      <w:rPr>
                                        <w:rFonts w:ascii="Times New Roman" w:eastAsia="Times New Roman" w:hAnsi="Times New Roman" w:cs="Times New Roman"/>
                                        <w:i/>
                                        <w:iCs/>
                                        <w:sz w:val="24"/>
                                        <w:szCs w:val="24"/>
                                        <w:lang w:eastAsia="hr-HR"/>
                                      </w:rPr>
                                      <w:t xml:space="preserve">Francis A, Baigent C, Ikizler TA, Cockwell P, Jha V. The urgent need to vaccinate dialysis patients against severe acute respiratory syndrome coronavirus 2: a call to action. Kidney Int. 2021 Feb 12:S0085-2538(21)00177-0. </w:t>
                                    </w:r>
                                    <w:hyperlink r:id="rId15" w:tgtFrame="_blank" w:history="1">
                                      <w:r w:rsidRPr="00B81B23">
                                        <w:rPr>
                                          <w:rFonts w:ascii="Times New Roman" w:eastAsia="Times New Roman" w:hAnsi="Times New Roman" w:cs="Times New Roman"/>
                                          <w:i/>
                                          <w:iCs/>
                                          <w:color w:val="0000FF"/>
                                          <w:sz w:val="24"/>
                                          <w:szCs w:val="24"/>
                                          <w:u w:val="single"/>
                                          <w:lang w:eastAsia="hr-HR"/>
                                        </w:rPr>
                                        <w:t>doi: 10.1016/j.kint.2021.02.003</w:t>
                                      </w:r>
                                    </w:hyperlink>
                                    <w:r w:rsidRPr="00B81B23">
                                      <w:rPr>
                                        <w:rFonts w:ascii="Times New Roman" w:eastAsia="Times New Roman" w:hAnsi="Times New Roman" w:cs="Times New Roman"/>
                                        <w:i/>
                                        <w:iCs/>
                                        <w:sz w:val="24"/>
                                        <w:szCs w:val="24"/>
                                        <w:lang w:eastAsia="hr-HR"/>
                                      </w:rPr>
                                      <w:t>. Epub ahead of print. PMID: 33582109; PMCID: PMC7879104.</w:t>
                                    </w:r>
                                  </w:p>
                                </w:tc>
                              </w:tr>
                            </w:tbl>
                            <w:p w14:paraId="4CA6D777" w14:textId="77777777" w:rsidR="00B81B23" w:rsidRPr="00B81B23" w:rsidRDefault="00B81B23" w:rsidP="00B81B23">
                              <w:pPr>
                                <w:spacing w:after="0" w:line="240" w:lineRule="auto"/>
                                <w:rPr>
                                  <w:rFonts w:ascii="Times New Roman" w:eastAsia="Times New Roman" w:hAnsi="Times New Roman" w:cs="Times New Roman"/>
                                  <w:sz w:val="24"/>
                                  <w:szCs w:val="24"/>
                                  <w:lang w:eastAsia="hr-HR"/>
                                </w:rPr>
                              </w:pPr>
                            </w:p>
                          </w:tc>
                        </w:tr>
                      </w:tbl>
                      <w:p w14:paraId="470B902B" w14:textId="77777777" w:rsidR="00B81B23" w:rsidRPr="00B81B23" w:rsidRDefault="00B81B23" w:rsidP="00B81B23">
                        <w:pPr>
                          <w:spacing w:after="0" w:line="315" w:lineRule="atLeast"/>
                          <w:rPr>
                            <w:rFonts w:ascii="Helvetica" w:eastAsia="Times New Roman" w:hAnsi="Helvetica" w:cs="Helvetica"/>
                            <w:color w:val="505050"/>
                            <w:sz w:val="21"/>
                            <w:szCs w:val="21"/>
                            <w:lang w:eastAsia="hr-HR"/>
                          </w:rPr>
                        </w:pPr>
                      </w:p>
                    </w:tc>
                  </w:tr>
                </w:tbl>
                <w:p w14:paraId="11251E58" w14:textId="77777777" w:rsidR="00B81B23" w:rsidRPr="00B81B23" w:rsidRDefault="00B81B23" w:rsidP="00B81B23">
                  <w:pPr>
                    <w:spacing w:after="0" w:line="240" w:lineRule="auto"/>
                    <w:jc w:val="center"/>
                    <w:rPr>
                      <w:rFonts w:ascii="Times New Roman" w:eastAsia="Times New Roman" w:hAnsi="Times New Roman" w:cs="Times New Roman"/>
                      <w:sz w:val="24"/>
                      <w:szCs w:val="24"/>
                      <w:lang w:eastAsia="hr-HR"/>
                    </w:rPr>
                  </w:pPr>
                </w:p>
              </w:tc>
            </w:tr>
            <w:tr w:rsidR="00B81B23" w:rsidRPr="00B81B23" w14:paraId="4D35981C" w14:textId="77777777">
              <w:trPr>
                <w:tblCellSpacing w:w="0" w:type="dxa"/>
                <w:jc w:val="center"/>
              </w:trPr>
              <w:tc>
                <w:tcPr>
                  <w:tcW w:w="0" w:type="auto"/>
                  <w:shd w:val="clear" w:color="auto" w:fill="FFFFFF"/>
                  <w:hideMark/>
                </w:tcPr>
                <w:p w14:paraId="08CA1FE0" w14:textId="77777777" w:rsidR="00B81B23" w:rsidRPr="00B81B23" w:rsidRDefault="00B81B23" w:rsidP="00B81B23">
                  <w:pPr>
                    <w:spacing w:after="0" w:line="240" w:lineRule="auto"/>
                    <w:jc w:val="center"/>
                    <w:rPr>
                      <w:rFonts w:ascii="Times New Roman" w:eastAsia="Times New Roman" w:hAnsi="Times New Roman" w:cs="Times New Roman"/>
                      <w:sz w:val="20"/>
                      <w:szCs w:val="20"/>
                      <w:lang w:eastAsia="hr-HR"/>
                    </w:rPr>
                  </w:pPr>
                </w:p>
              </w:tc>
            </w:tr>
          </w:tbl>
          <w:p w14:paraId="1C194BCE" w14:textId="77777777" w:rsidR="00B81B23" w:rsidRPr="00B81B23" w:rsidRDefault="00B81B23" w:rsidP="00B81B23">
            <w:pPr>
              <w:spacing w:after="0" w:line="240" w:lineRule="auto"/>
              <w:jc w:val="center"/>
              <w:rPr>
                <w:rFonts w:ascii="Times New Roman" w:eastAsia="Times New Roman" w:hAnsi="Times New Roman" w:cs="Times New Roman"/>
                <w:sz w:val="24"/>
                <w:szCs w:val="24"/>
                <w:lang w:eastAsia="hr-HR"/>
              </w:rPr>
            </w:pPr>
          </w:p>
        </w:tc>
      </w:tr>
    </w:tbl>
    <w:p w14:paraId="21AEE0C1" w14:textId="77777777" w:rsidR="006D75DD" w:rsidRDefault="006D75DD">
      <w:bookmarkStart w:id="0" w:name="_GoBack"/>
      <w:bookmarkEnd w:id="0"/>
    </w:p>
    <w:sectPr w:rsidR="006D7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5D"/>
    <w:rsid w:val="006D75DD"/>
    <w:rsid w:val="00B81B23"/>
    <w:rsid w:val="00F057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3448-80CA-430C-989E-B9C92A87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1B23"/>
    <w:rPr>
      <w:i/>
      <w:iCs/>
    </w:rPr>
  </w:style>
  <w:style w:type="character" w:styleId="Strong">
    <w:name w:val="Strong"/>
    <w:basedOn w:val="DefaultParagraphFont"/>
    <w:uiPriority w:val="22"/>
    <w:qFormat/>
    <w:rsid w:val="00B81B23"/>
    <w:rPr>
      <w:b/>
      <w:bCs/>
    </w:rPr>
  </w:style>
  <w:style w:type="character" w:styleId="Hyperlink">
    <w:name w:val="Hyperlink"/>
    <w:basedOn w:val="DefaultParagraphFont"/>
    <w:uiPriority w:val="99"/>
    <w:semiHidden/>
    <w:unhideWhenUsed/>
    <w:rsid w:val="00B81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28079">
      <w:bodyDiv w:val="1"/>
      <w:marLeft w:val="0"/>
      <w:marRight w:val="0"/>
      <w:marTop w:val="0"/>
      <w:marBottom w:val="0"/>
      <w:divBdr>
        <w:top w:val="none" w:sz="0" w:space="0" w:color="auto"/>
        <w:left w:val="none" w:sz="0" w:space="0" w:color="auto"/>
        <w:bottom w:val="none" w:sz="0" w:space="0" w:color="auto"/>
        <w:right w:val="none" w:sz="0" w:space="0" w:color="auto"/>
      </w:divBdr>
    </w:div>
    <w:div w:id="24196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2.theisn.org/e/463452/content-32-2-385/xz14l7/467556332?h=uGsi5JsfLA0ftugGFSRItO2rqJoYzJyuGLGdm4BCou4"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2.theisn.org/e/463452/XzEWcg7/xz14l5/467556332?h=uGsi5JsfLA0ftugGFSRItO2rqJoYzJyuGLGdm4BCou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2.theisn.org/e/463452/RzEWfDh/xz14l3/467556332?h=uGsi5JsfLA0ftugGFSRItO2rqJoYzJyuGLGdm4BCou4" TargetMode="External"/><Relationship Id="rId5" Type="http://schemas.openxmlformats.org/officeDocument/2006/relationships/hyperlink" Target="https://www2.theisn.org/e/463452/3eoP3pF/xz14kw/467556332?h=uGsi5JsfLA0ftugGFSRItO2rqJoYzJyuGLGdm4BCou4" TargetMode="External"/><Relationship Id="rId15" Type="http://schemas.openxmlformats.org/officeDocument/2006/relationships/hyperlink" Target="https://www2.theisn.org/e/463452/jzEKIUL/xz14lc/467556332?h=uGsi5JsfLA0ftugGFSRItO2rqJoYzJyuGLGdm4BCou4" TargetMode="External"/><Relationship Id="rId10" Type="http://schemas.openxmlformats.org/officeDocument/2006/relationships/hyperlink" Target="https://www2.theisn.org/e/463452/articles-s41581-020-00349-4/xz14l1/467556332?h=uGsi5JsfLA0ftugGFSRItO2rqJoYzJyuGLGdm4BCou4" TargetMode="External"/><Relationship Id="rId4" Type="http://schemas.openxmlformats.org/officeDocument/2006/relationships/image" Target="media/image1.jpeg"/><Relationship Id="rId9" Type="http://schemas.openxmlformats.org/officeDocument/2006/relationships/hyperlink" Target="https://www2.theisn.org/e/463452/ndt-article-36-1-87-6041849/xz14ky/467556332?h=uGsi5JsfLA0ftugGFSRItO2rqJoYzJyuGLGdm4BCou4" TargetMode="External"/><Relationship Id="rId14" Type="http://schemas.openxmlformats.org/officeDocument/2006/relationships/hyperlink" Target="https://www2.theisn.org/e/463452/EzEJ1TS/xz14l9/467556332?h=uGsi5JsfLA0ftugGFSRItO2rqJoYzJyuGLGdm4BCo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Enisa Mesic</dc:creator>
  <cp:keywords/>
  <dc:description/>
  <cp:lastModifiedBy>Enisa Mesic</cp:lastModifiedBy>
  <cp:revision>2</cp:revision>
  <dcterms:created xsi:type="dcterms:W3CDTF">2021-03-12T09:22:00Z</dcterms:created>
  <dcterms:modified xsi:type="dcterms:W3CDTF">2021-03-12T09:24:00Z</dcterms:modified>
</cp:coreProperties>
</file>